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Utopian Supremacy</w:t>
        <w:br/>
        <w:t>Book Club Kit</w:t>
      </w:r>
    </w:p>
    <w:p>
      <w:pPr>
        <w:spacing w:after="80"/>
        <w:jc w:val="center"/>
      </w:pPr>
      <w:r>
        <w:rPr>
          <w:sz w:val="24"/>
        </w:rPr>
        <w:t>How Selling Utopia Destroys Societies</w:t>
      </w:r>
    </w:p>
    <w:p>
      <w:pPr>
        <w:spacing w:after="120"/>
        <w:jc w:val="center"/>
      </w:pPr>
      <w:r>
        <w:rPr>
          <w:sz w:val="22"/>
        </w:rPr>
        <w:t>Dr. Mark Dyrholm DC BComm</w:t>
      </w:r>
    </w:p>
    <w:p>
      <w:pPr>
        <w:spacing w:before="160" w:after="240"/>
        <w:jc w:val="center"/>
      </w:pPr>
      <w:r>
        <w:drawing>
          <wp:inline xmlns:a="http://schemas.openxmlformats.org/drawingml/2006/main" xmlns:pic="http://schemas.openxmlformats.org/drawingml/2006/picture">
            <wp:extent cx="2487168" cy="3728594"/>
            <wp:docPr id="1" name="Picture 1" descr="Cover of Utopian Supremacy by Dr. Mark Dyrholm DC BComm. A billboard promises an ideal city above a street showing shortages and restrictions."/>
            <wp:cNvGraphicFramePr>
              <a:graphicFrameLocks noChangeAspect="1"/>
            </wp:cNvGraphicFramePr>
            <a:graphic>
              <a:graphicData uri="http://schemas.openxmlformats.org/drawingml/2006/picture">
                <pic:pic>
                  <pic:nvPicPr>
                    <pic:cNvPr id="0" name="Utopian_Supremacy_Kindle_Cover.jpg"/>
                    <pic:cNvPicPr/>
                  </pic:nvPicPr>
                  <pic:blipFill>
                    <a:blip r:embed="rId11"/>
                    <a:stretch>
                      <a:fillRect/>
                    </a:stretch>
                  </pic:blipFill>
                  <pic:spPr>
                    <a:xfrm>
                      <a:off x="0" y="0"/>
                      <a:ext cx="2487168" cy="3728594"/>
                    </a:xfrm>
                    <a:prstGeom prst="rect"/>
                  </pic:spPr>
                </pic:pic>
              </a:graphicData>
            </a:graphic>
          </wp:inline>
        </w:drawing>
      </w:r>
    </w:p>
    <w:p>
      <w:pPr>
        <w:spacing w:after="200"/>
        <w:jc w:val="center"/>
      </w:pPr>
      <w:r>
        <w:rPr>
          <w:b/>
          <w:sz w:val="28"/>
        </w:rPr>
        <w:t>A practical guide for libraries and reading groups</w:t>
      </w:r>
    </w:p>
    <w:p>
      <w:pPr>
        <w:spacing w:after="240"/>
        <w:jc w:val="center"/>
      </w:pPr>
      <w:r>
        <w:rPr>
          <w:sz w:val="24"/>
        </w:rPr>
        <w:t>Read the book together. Examine its argument, test its limits, and use different perspectives to understand why people disagree. The group can learn without reaching the same conclusion.</w:t>
      </w:r>
    </w:p>
    <w:p>
      <w:pPr>
        <w:jc w:val="center"/>
      </w:pPr>
      <w:hyperlink r:id="rId12">
        <w:r>
          <w:rPr>
            <w:color w:val="183D52"/>
            <w:sz w:val="22"/>
            <w:u w:val="single"/>
          </w:rPr>
          <w:t>drmark@utopiansupremacy.com</w:t>
        </w:r>
      </w:hyperlink>
    </w:p>
    <w:p>
      <w:pPr>
        <w:spacing w:after="40"/>
        <w:jc w:val="center"/>
      </w:pPr>
      <w:r>
        <w:rPr>
          <w:sz w:val="18"/>
        </w:rPr>
        <w:t>First Edition companion kit  |  October 2026</w:t>
      </w:r>
    </w:p>
    <w:p>
      <w:pPr>
        <w:jc w:val="center"/>
      </w:pPr>
      <w:r>
        <w:rPr>
          <w:sz w:val="18"/>
        </w:rPr>
        <w:t>Libraries and reading groups may reproduce these discussion materials for their own meetings.</w:t>
      </w:r>
    </w:p>
    <w:p>
      <w:pPr>
        <w:pStyle w:val="Heading1"/>
        <w:pageBreakBefore/>
      </w:pPr>
      <w:r>
        <w:t>Start here</w:t>
      </w:r>
    </w:p>
    <w:p>
      <w:r>
        <w:t>This kit helps a host run a serious conversation about the book and the problems it raises. Readers are invited to question their own assumptions and the author's conclusions. A useful outcome is a clearer disagreement, supported by better evidence.</w:t>
      </w:r>
    </w:p>
    <w:p>
      <w:pPr>
        <w:pStyle w:val="Heading2"/>
      </w:pPr>
      <w:r>
        <w:t>Assemble the physical set</w:t>
      </w:r>
    </w:p>
    <w:p>
      <w:r>
        <w:t xml:space="preserve">Use </w:t>
      </w:r>
      <w:r>
        <w:rPr>
          <w:b/>
        </w:rPr>
        <w:t>12 paperback copies</w:t>
      </w:r>
      <w:r>
        <w:t>, numbered 01 to 12, with one host copy of this kit. Add a copy of the two-page reader guide for each reader. A reusable bag or box keeps the set together. The facilitator sheet can be laminated; worksheets and feedback cards are optional.</w:t>
      </w:r>
    </w:p>
    <w:p>
      <w:r>
        <w:t>The 12-copy format follows the current Claresholm and Chinook Arch Book Club Kit model. Supply copies only after agreeing on the receiving library's selection, processing, accessibility, and loan requirements. This author prepared kit is available for consideration by any host.</w:t>
      </w:r>
    </w:p>
    <w:p>
      <w:pPr>
        <w:pStyle w:val="Heading2"/>
      </w:pPr>
      <w:r>
        <w:t>Print only what you need</w:t>
      </w:r>
    </w:p>
    <w:tbl>
      <w:tblPr>
        <w:tblW w:type="auto" w:w="0"/>
        <w:jc w:val="center"/>
        <w:tblLayout w:type="fixed"/>
        <w:tblLook w:firstColumn="1" w:firstRow="1" w:lastColumn="0" w:lastRow="0" w:noHBand="0" w:noVBand="1" w:val="04A0"/>
      </w:tblPr>
      <w:tblGrid>
        <w:gridCol w:w="1080"/>
        <w:gridCol w:w="3888"/>
        <w:gridCol w:w="5198"/>
      </w:tblGrid>
      <w:tr>
        <w:trPr>
          <w:tblHeade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8"/>
              </w:rPr>
              <w:t>Kit pages</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8"/>
              </w:rPr>
              <w:t>Material</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8"/>
              </w:rPr>
              <w:t>Suggested use</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3</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Library and organizer overview</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Share with the person considering the book</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4</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Meeting plans</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Host copy</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5</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Facilitator sheet</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One copy to keep beside the host</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6 to 7</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Reading map and discussion support</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Host copy or optional reader reference</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8 to 9</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Two-page reader guide</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One sheet per reader printed on both sides</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10</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Diagnostic worksheet</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One per reader or small group</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11</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Two feedback cards</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8"/>
              </w:rPr>
              <w:t>One card per reader</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12</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Inventory and return record</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Keep with the physical set</w:t>
            </w:r>
          </w:p>
        </w:tc>
      </w:tr>
      <w:tr>
        <w:trPr>
          <w:cantSplit/>
        </w:trPr>
        <w:tc>
          <w:tcPr>
            <w:tcW w:type="dxa" w:w="10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13</w:t>
            </w:r>
          </w:p>
        </w:tc>
        <w:tc>
          <w:tcPr>
            <w:tcW w:type="dxa" w:w="38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Event invitation</w:t>
            </w:r>
          </w:p>
        </w:tc>
        <w:tc>
          <w:tcPr>
            <w:tcW w:type="dxa" w:w="51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8"/>
              </w:rPr>
              <w:t>Complete the event details before displaying</w:t>
            </w:r>
          </w:p>
        </w:tc>
      </w:tr>
    </w:tbl>
    <w:p>
      <w:pPr>
        <w:spacing w:after="20"/>
      </w:pPr>
      <w:r>
        <w:rPr>
          <w:sz w:val="4"/>
        </w:rPr>
      </w:r>
    </w:p>
    <w:p>
      <w:pPr>
        <w:pStyle w:val="Heading2"/>
      </w:pPr>
      <w:r>
        <w:t>Before the meeting</w:t>
      </w:r>
    </w:p>
    <w:p>
      <w:r>
        <w:t>Choose a host, date, and format. Allow roughly four weeks to read the main text. Send pages 8 and 9 with the invitation. Ask each reader to bring one point they accept, one they resist, and one passage they want the group to examine. Include its page number.</w:t>
      </w:r>
    </w:p>
    <w:p>
      <w:r>
        <w:t>Set a clear return date for the books. Ask participants about access needs early and check available formats with library staff. An author visit can be requested separately; the discussion works without one.</w:t>
      </w:r>
    </w:p>
    <w:p>
      <w:hyperlink r:id="rId13">
        <w:r>
          <w:rPr>
            <w:color w:val="183D52"/>
            <w:sz w:val="18"/>
            <w:u w:val="single"/>
          </w:rPr>
          <w:t>Claresholm Public Library Book Club Kits</w:t>
        </w:r>
      </w:hyperlink>
    </w:p>
    <w:p>
      <w:r>
        <w:rPr>
          <w:sz w:val="17"/>
        </w:rPr>
        <w:t>Book and kit copyright 2026 Mark Dyrholm. Permission to reproduce this kit does not include reproduction of the book.</w:t>
      </w:r>
    </w:p>
    <w:p>
      <w:pPr>
        <w:pStyle w:val="Heading1"/>
        <w:pageBreakBefore/>
      </w:pPr>
      <w:r>
        <w:t>For libraries and reading groups</w:t>
      </w:r>
    </w:p>
    <w:p>
      <w:r/>
      <w:r>
        <w:rPr>
          <w:b/>
        </w:rPr>
        <w:t>Utopian Supremacy</w:t>
      </w:r>
      <w:r>
        <w:t xml:space="preserve"> asks what happens when a promised better future becomes so important that the people pursuing it stop accepting correction. It examines the gap between intentions and results, the appeal of moral certainty, and the safeguards that let institutions learn from error.</w:t>
      </w:r>
    </w:p>
    <w:p>
      <w:pPr>
        <w:pStyle w:val="Heading2"/>
      </w:pPr>
      <w:r>
        <w:t>Why select this book</w:t>
      </w:r>
    </w:p>
    <w:p>
      <w:r>
        <w:t>The book offers a shared set of questions for people who disagree about politics, institutions, and social change. Who decides? Who pays? What knowledge is missing? What would cause the plan to change? Readers can apply these questions to movements they support as well as movements they oppose.</w:t>
      </w:r>
    </w:p>
    <w:p>
      <w:r>
        <w:t>The diagnostic analogy is central: one accurate view can still leave the diagnosis incomplete. A thoughtful conservative and a thoughtful liberal may each see something the other has missed. Their claims still need to be tested against evidence.</w:t>
      </w:r>
    </w:p>
    <w:tbl>
      <w:tblPr>
        <w:tblW w:type="auto" w:w="0"/>
        <w:jc w:val="center"/>
        <w:tblLayout w:type="fixed"/>
        <w:tblLook w:firstColumn="1" w:firstRow="1" w:lastColumn="0" w:lastRow="0" w:noHBand="0" w:noVBand="1" w:val="04A0"/>
      </w:tblPr>
      <w:tblGrid>
        <w:gridCol w:w="2088"/>
        <w:gridCol w:w="8078"/>
      </w:tblGrid>
      <w:tr>
        <w:trPr>
          <w:tblHeade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20"/>
              </w:rPr>
              <w:t>Book information</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20"/>
              </w:rPr>
              <w:t>Details</w:t>
            </w:r>
          </w:p>
        </w:tc>
      </w:tr>
      <w:tr>
        <w:trP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20"/>
              </w:rPr>
              <w:t>Full title</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20"/>
              </w:rPr>
              <w:t>Utopian Supremacy: How Selling Utopia Destroys Societies</w:t>
            </w:r>
          </w:p>
        </w:tc>
      </w:tr>
      <w:tr>
        <w:trP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20"/>
              </w:rPr>
              <w:t>Author</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20"/>
              </w:rPr>
              <w:t>Dr. Mark Dyrholm DC BComm</w:t>
            </w:r>
          </w:p>
        </w:tc>
      </w:tr>
      <w:tr>
        <w:trP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20"/>
              </w:rPr>
              <w:t>Paperback ISBN</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20"/>
              </w:rPr>
              <w:t>978-1-0696662-0-8</w:t>
            </w:r>
          </w:p>
        </w:tc>
      </w:tr>
      <w:tr>
        <w:trP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20"/>
              </w:rPr>
              <w:t>Publisher and edition</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20"/>
              </w:rPr>
              <w:t>Mark Dyrholm  |  First Edition  |  2026</w:t>
            </w:r>
          </w:p>
        </w:tc>
      </w:tr>
      <w:tr>
        <w:trP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20"/>
              </w:rPr>
              <w:t>Reading assignment</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20"/>
              </w:rPr>
              <w:t>Main text pages 1 to 113; appendix is a topic guide</w:t>
            </w:r>
          </w:p>
        </w:tc>
      </w:tr>
      <w:tr>
        <w:trPr>
          <w:cantSplit/>
        </w:trPr>
        <w:tc>
          <w:tcPr>
            <w:tcW w:type="dxa" w:w="208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20"/>
              </w:rPr>
              <w:t>Suggested group</w:t>
            </w:r>
          </w:p>
        </w:tc>
        <w:tc>
          <w:tcPr>
            <w:tcW w:type="dxa" w:w="807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20"/>
              </w:rPr>
              <w:t>Adults and readers interested in nonfiction and civic discussion</w:t>
            </w:r>
          </w:p>
        </w:tc>
      </w:tr>
    </w:tbl>
    <w:p>
      <w:pPr>
        <w:spacing w:after="20"/>
      </w:pPr>
      <w:r>
        <w:rPr>
          <w:sz w:val="4"/>
        </w:rPr>
      </w:r>
    </w:p>
    <w:p>
      <w:pPr>
        <w:pStyle w:val="Heading2"/>
      </w:pPr>
      <w:r>
        <w:t>About the author</w:t>
      </w:r>
    </w:p>
    <w:p>
      <w:r>
        <w:t>Mark Dyrholm is a chiropractor in Claresholm, Alberta. He holds a Bachelor of Commerce from the University of Calgary, with a focus in Management Information Systems, and a Doctor of Chiropractic degree from the University of Western States. His work has included clinical practice, professional regulation, governance, and public policy. He ran for the leadership of the Wildrose Party of Alberta in 2009.</w:t>
      </w:r>
    </w:p>
    <w:p>
      <w:r>
        <w:t>He wrote the book to examine how institutions handle evidence, incentives, responsibility, and real-world results. His concern is what one generation builds, preserves, and passes to the next.</w:t>
      </w:r>
    </w:p>
    <w:p>
      <w:pPr>
        <w:pStyle w:val="Heading2"/>
      </w:pPr>
      <w:r>
        <w:t>Author conversations and copies</w:t>
      </w:r>
    </w:p>
    <w:p>
      <w:r>
        <w:t xml:space="preserve">To ask about a </w:t>
      </w:r>
      <w:r>
        <w:rPr>
          <w:b/>
        </w:rPr>
        <w:t>30 to 45 minute author Q&amp;A</w:t>
      </w:r>
      <w:r>
        <w:t>, send the group name, location or time zone, proposed dates, expected number of readers, and whether you prefer a local or virtual meeting. Attendance and arrangements are confirmed separately.</w:t>
      </w:r>
    </w:p>
    <w:p>
      <w:hyperlink r:id="rId12">
        <w:r>
          <w:rPr>
            <w:color w:val="183D52"/>
            <w:sz w:val="21"/>
            <w:u w:val="single"/>
          </w:rPr>
          <w:t>drmark@utopiansupremacy.com</w:t>
        </w:r>
      </w:hyperlink>
    </w:p>
    <w:p>
      <w:hyperlink r:id="rId14">
        <w:r>
          <w:rPr>
            <w:color w:val="183D52"/>
            <w:sz w:val="21"/>
            <w:u w:val="single"/>
          </w:rPr>
          <w:t>Amazon Canada  |  amazon.ca/dp/1069666203</w:t>
        </w:r>
      </w:hyperlink>
    </w:p>
    <w:p>
      <w:pPr>
        <w:pStyle w:val="Heading1"/>
        <w:pageBreakBefore/>
      </w:pPr>
      <w:r>
        <w:t>Meeting plans</w:t>
      </w:r>
    </w:p>
    <w:p>
      <w:r>
        <w:t>The 90-minute format suits a group of about 6 to 12 readers who have read the main text. Choose questions in advance and leave room for readers to identify the passage they most want to discuss.</w:t>
      </w:r>
    </w:p>
    <w:p>
      <w:pPr>
        <w:pStyle w:val="Heading2"/>
      </w:pPr>
      <w:r>
        <w:t>A 90 minute meeting</w:t>
      </w:r>
    </w:p>
    <w:tbl>
      <w:tblPr>
        <w:tblW w:type="auto" w:w="0"/>
        <w:jc w:val="center"/>
        <w:tblLayout w:type="fixed"/>
        <w:tblLook w:firstColumn="1" w:firstRow="1" w:lastColumn="0" w:lastRow="0" w:noHBand="0" w:noVBand="1" w:val="04A0"/>
      </w:tblPr>
      <w:tblGrid>
        <w:gridCol w:w="1512"/>
        <w:gridCol w:w="2880"/>
        <w:gridCol w:w="5774"/>
      </w:tblGrid>
      <w:tr>
        <w:trPr>
          <w:tblHeade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Time</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Activity</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Host action</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0 to 10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Welcome and first reactions</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Read the opening on page 5. Give each reader up to 30 seconds for one reaction.</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10 to 20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Define the central idea</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Use question 1. Agree on the claim being examined, even if readers reject it.</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20 to 40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Test the mechanisms</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Choose two questions from 2 to 8. Ask for passages and examples.</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40 to 55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Challenge the argument</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Use question 9, 10, or 11. Seek a counterexample and the strongest defence.</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55 to 75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Apply the framework</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Use the housing case on page 10. Work in pairs, then compare diagnoses.</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75 to 85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Name what remains unresolved</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Use question 12. Identify an assumption or fact that needs checking.</w:t>
            </w:r>
          </w:p>
        </w:tc>
      </w:tr>
      <w:tr>
        <w:trPr>
          <w:cantSplit/>
        </w:trPr>
        <w:tc>
          <w:tcPr>
            <w:tcW w:type="dxa" w:w="151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85 to 90 min</w:t>
            </w:r>
          </w:p>
        </w:tc>
        <w:tc>
          <w:tcPr>
            <w:tcW w:type="dxa" w:w="288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Close and collect feedback</w:t>
            </w:r>
          </w:p>
        </w:tc>
        <w:tc>
          <w:tcPr>
            <w:tcW w:type="dxa" w:w="5774"/>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Each reader names one useful insight. Collect cards and confirm book returns.</w:t>
            </w:r>
          </w:p>
        </w:tc>
      </w:tr>
    </w:tbl>
    <w:p>
      <w:pPr>
        <w:spacing w:after="20"/>
      </w:pPr>
      <w:r>
        <w:rPr>
          <w:sz w:val="4"/>
        </w:rPr>
      </w:r>
    </w:p>
    <w:p>
      <w:pPr>
        <w:pStyle w:val="Heading2"/>
      </w:pPr>
      <w:r>
        <w:t>A 60 minute meeting</w:t>
      </w:r>
    </w:p>
    <w:p>
      <w:r>
        <w:t>Allow 5 minutes for the opening, 10 for question 1, 20 for two chosen questions, 15 for the worksheet, and 10 for question 12 and a closing round. Send the other questions home rather than rushing through all twelve.</w:t>
      </w:r>
    </w:p>
    <w:p>
      <w:pPr>
        <w:pStyle w:val="Heading2"/>
      </w:pPr>
      <w:r>
        <w:t>A three meeting reading series</w:t>
      </w:r>
    </w:p>
    <w:tbl>
      <w:tblPr>
        <w:tblW w:type="auto" w:w="0"/>
        <w:jc w:val="center"/>
        <w:tblLayout w:type="fixed"/>
        <w:tblLook w:firstColumn="1" w:firstRow="1" w:lastColumn="0" w:lastRow="0" w:noHBand="0" w:noVBand="1" w:val="04A0"/>
      </w:tblPr>
      <w:tblGrid>
        <w:gridCol w:w="936"/>
        <w:gridCol w:w="2232"/>
        <w:gridCol w:w="6998"/>
      </w:tblGrid>
      <w:tr>
        <w:trPr>
          <w:tblHeader/>
          <w:cantSplit/>
        </w:trPr>
        <w:tc>
          <w:tcPr>
            <w:tcW w:type="dxa" w:w="93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Meeting</w:t>
            </w:r>
          </w:p>
        </w:tc>
        <w:tc>
          <w:tcPr>
            <w:tcW w:type="dxa" w:w="223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Read before meeting</w:t>
            </w:r>
          </w:p>
        </w:tc>
        <w:tc>
          <w:tcPr>
            <w:tcW w:type="dxa" w:w="69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Focus</w:t>
            </w:r>
          </w:p>
        </w:tc>
      </w:tr>
      <w:tr>
        <w:trPr>
          <w:cantSplit/>
        </w:trPr>
        <w:tc>
          <w:tcPr>
            <w:tcW w:type="dxa" w:w="93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1</w:t>
            </w:r>
          </w:p>
        </w:tc>
        <w:tc>
          <w:tcPr>
            <w:tcW w:type="dxa" w:w="223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Pages 1 to 41</w:t>
            </w:r>
          </w:p>
        </w:tc>
        <w:tc>
          <w:tcPr>
            <w:tcW w:type="dxa" w:w="69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The definition, moral permission, belonging, knowledge, and inherited institutions. Use questions 1 to 4.</w:t>
            </w:r>
          </w:p>
        </w:tc>
      </w:tr>
      <w:tr>
        <w:trPr>
          <w:cantSplit/>
        </w:trPr>
        <w:tc>
          <w:tcPr>
            <w:tcW w:type="dxa" w:w="93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2</w:t>
            </w:r>
          </w:p>
        </w:tc>
        <w:tc>
          <w:tcPr>
            <w:tcW w:type="dxa" w:w="223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Pages 42 to 73</w:t>
            </w:r>
          </w:p>
        </w:tc>
        <w:tc>
          <w:tcPr>
            <w:tcW w:type="dxa" w:w="69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Consequences, missing views, measures, failure, and leadership. Use questions 5 to 8.</w:t>
            </w:r>
          </w:p>
        </w:tc>
      </w:tr>
      <w:tr>
        <w:trPr>
          <w:cantSplit/>
        </w:trPr>
        <w:tc>
          <w:tcPr>
            <w:tcW w:type="dxa" w:w="93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3</w:t>
            </w:r>
          </w:p>
        </w:tc>
        <w:tc>
          <w:tcPr>
            <w:tcW w:type="dxa" w:w="2232"/>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Pages 74 to 113</w:t>
            </w:r>
          </w:p>
        </w:tc>
        <w:tc>
          <w:tcPr>
            <w:tcW w:type="dxa" w:w="6998"/>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Formation, history, boundary cases, and practical safeguards. Use questions 9 to 12 and the worksheet.</w:t>
            </w:r>
          </w:p>
        </w:tc>
      </w:tr>
    </w:tbl>
    <w:p>
      <w:pPr>
        <w:spacing w:after="20"/>
      </w:pPr>
      <w:r>
        <w:rPr>
          <w:sz w:val="4"/>
        </w:rPr>
      </w:r>
    </w:p>
    <w:p>
      <w:r>
        <w:rPr>
          <w:sz w:val="20"/>
        </w:rPr>
        <w:t>For a meeting with an author Q&amp;A, allow 120 minutes: 70 minutes of reader discussion, a 5-minute break, 35 minutes with the author, and 10 minutes for closing and returns. Gather the group's questions before the author joins.</w:t>
      </w:r>
    </w:p>
    <w:p>
      <w:r>
        <w:rPr>
          <w:sz w:val="18"/>
        </w:rPr>
        <w:t>All book page references in this kit use the printed First Edition paperback page numbers. Locate the named section in other formats.</w:t>
      </w:r>
    </w:p>
    <w:p>
      <w:pPr>
        <w:pStyle w:val="Heading1"/>
        <w:pageBreakBefore/>
      </w:pPr>
      <w:r>
        <w:t>Facilitator sheet</w:t>
      </w:r>
    </w:p>
    <w:p>
      <w:r>
        <w:rPr>
          <w:sz w:val="22"/>
        </w:rPr>
        <w:t>Keep this page beside you. Choose a few questions and keep the conversation tied to a specific claim, passage, or example.</w:t>
      </w:r>
    </w:p>
    <w:p>
      <w:pPr>
        <w:pStyle w:val="Heading2"/>
      </w:pPr>
      <w:r>
        <w:t>Opening to read aloud</w:t>
      </w:r>
    </w:p>
    <w:p>
      <w:r>
        <w:rPr>
          <w:sz w:val="22"/>
        </w:rPr>
        <w:t>Our task is to understand the argument, test it, and locate our disagreements. Give the author and one another a fair hearing. Agreement is optional. Claims still need evidence. You may pass when you prefer to listen.</w:t>
      </w:r>
    </w:p>
    <w:p>
      <w:pPr>
        <w:pStyle w:val="Heading2"/>
      </w:pPr>
      <w:r>
        <w:t>Five signs to examine</w:t>
      </w:r>
    </w:p>
    <w:p>
      <w:r>
        <w:rPr>
          <w:sz w:val="21"/>
        </w:rPr>
      </w:r>
      <w:r>
        <w:rPr>
          <w:b/>
          <w:sz w:val="21"/>
        </w:rPr>
        <w:t>Moral elevation:</w:t>
      </w:r>
      <w:r>
        <w:rPr>
          <w:sz w:val="21"/>
        </w:rPr>
        <w:t xml:space="preserve"> A destination is treated as beyond ordinary debate.</w:t>
        <w:br/>
      </w:r>
      <w:r>
        <w:rPr>
          <w:b/>
          <w:sz w:val="21"/>
        </w:rPr>
        <w:t>Moral compression:</w:t>
      </w:r>
      <w:r>
        <w:rPr>
          <w:sz w:val="21"/>
        </w:rPr>
        <w:t xml:space="preserve"> Tradeoffs become a contest between good and bad people.</w:t>
        <w:br/>
      </w:r>
      <w:r>
        <w:rPr>
          <w:b/>
          <w:sz w:val="21"/>
        </w:rPr>
        <w:t>Asymmetric sacrifice:</w:t>
      </w:r>
      <w:r>
        <w:rPr>
          <w:sz w:val="21"/>
        </w:rPr>
        <w:t xml:space="preserve"> Those directing the plan are insulated from costs others bear.</w:t>
        <w:br/>
      </w:r>
      <w:r>
        <w:rPr>
          <w:b/>
          <w:sz w:val="21"/>
        </w:rPr>
        <w:t>Immunity from evidence:</w:t>
      </w:r>
      <w:r>
        <w:rPr>
          <w:sz w:val="21"/>
        </w:rPr>
        <w:t xml:space="preserve"> Bad results are explained in ways that protect the theory.</w:t>
        <w:br/>
      </w:r>
      <w:r>
        <w:rPr>
          <w:b/>
          <w:sz w:val="21"/>
        </w:rPr>
        <w:t>Removal of exit:</w:t>
      </w:r>
      <w:r>
        <w:rPr>
          <w:sz w:val="21"/>
        </w:rPr>
        <w:t xml:space="preserve"> People cannot meaningfully refuse, leave, or build an alternative.</w:t>
      </w:r>
    </w:p>
    <w:p>
      <w:r>
        <w:rPr>
          <w:sz w:val="20"/>
        </w:rPr>
        <w:t>These are warning signs to investigate together. One sign by itself does not establish the diagnosis.</w:t>
      </w:r>
    </w:p>
    <w:p>
      <w:pPr>
        <w:pStyle w:val="Heading2"/>
      </w:pPr>
      <w:r>
        <w:t>Prompts that move the discussion forward</w:t>
      </w:r>
    </w:p>
    <w:p>
      <w:r>
        <w:rPr>
          <w:sz w:val="21"/>
        </w:rPr>
      </w:r>
      <w:r>
        <w:rPr>
          <w:b/>
          <w:sz w:val="21"/>
        </w:rPr>
        <w:t>Clarify:</w:t>
      </w:r>
      <w:r>
        <w:rPr>
          <w:sz w:val="21"/>
        </w:rPr>
        <w:t xml:space="preserve"> Which exact claim are we discussing?</w:t>
        <w:br/>
      </w:r>
      <w:r>
        <w:rPr>
          <w:b/>
          <w:sz w:val="21"/>
        </w:rPr>
        <w:t>Understand:</w:t>
      </w:r>
      <w:r>
        <w:rPr>
          <w:sz w:val="21"/>
        </w:rPr>
        <w:t xml:space="preserve"> Can someone give the strongest reasonable case for it?</w:t>
        <w:br/>
      </w:r>
      <w:r>
        <w:rPr>
          <w:b/>
          <w:sz w:val="21"/>
        </w:rPr>
        <w:t>Add a view:</w:t>
      </w:r>
      <w:r>
        <w:rPr>
          <w:sz w:val="21"/>
        </w:rPr>
        <w:t xml:space="preserve"> What might an affected person or a well-informed critic see?</w:t>
        <w:br/>
      </w:r>
      <w:r>
        <w:rPr>
          <w:b/>
          <w:sz w:val="21"/>
        </w:rPr>
        <w:t>Test:</w:t>
      </w:r>
      <w:r>
        <w:rPr>
          <w:sz w:val="21"/>
        </w:rPr>
        <w:t xml:space="preserve"> What evidence supports the claim, and what would count against it?</w:t>
        <w:br/>
      </w:r>
      <w:r>
        <w:rPr>
          <w:b/>
          <w:sz w:val="21"/>
        </w:rPr>
        <w:t>Apply the same rule:</w:t>
      </w:r>
      <w:r>
        <w:rPr>
          <w:sz w:val="21"/>
        </w:rPr>
        <w:t xml:space="preserve"> Would we accept this power in our opponents' hands?</w:t>
        <w:br/>
      </w:r>
      <w:r>
        <w:rPr>
          <w:b/>
          <w:sz w:val="21"/>
        </w:rPr>
        <w:t>Locate the gap:</w:t>
      </w:r>
      <w:r>
        <w:rPr>
          <w:sz w:val="21"/>
        </w:rPr>
        <w:t xml:space="preserve"> Is our disagreement about a fact, a cause, a value, or a tradeoff?</w:t>
      </w:r>
    </w:p>
    <w:p>
      <w:pPr>
        <w:pStyle w:val="Heading2"/>
      </w:pPr>
      <w:r>
        <w:t>Keep the group working</w:t>
      </w:r>
    </w:p>
    <w:p>
      <w:r>
        <w:t>Invite quieter readers before taking a second contribution from someone who has spoken. Ask people to explain their own view; no one has to represent a party, profession, or community. Challenge a claim without guessing its speaker's motives.</w:t>
      </w:r>
    </w:p>
    <w:p>
      <w:r>
        <w:t>If the discussion heats up, pause and restate the question. Ask each side to summarize the other's position fairly before responding. If a fact cannot be checked in the room, record it for follow-up. Move to another question when the group is repeating itself.</w:t>
      </w:r>
    </w:p>
    <w:p>
      <w:pPr>
        <w:pStyle w:val="Heading2"/>
      </w:pPr>
      <w:r>
        <w:t>Closing round</w:t>
      </w:r>
    </w:p>
    <w:p>
      <w:r>
        <w:t>Ask each reader to name one point they understand better and one question they still have. Record any agreed next step and confirm the book return date. A clearer disagreement can be a useful result.</w:t>
      </w:r>
    </w:p>
    <w:p>
      <w:r>
        <w:rPr>
          <w:sz w:val="18"/>
        </w:rPr>
        <w:t>Suggested opening: question 1. Essential self-test: question 12. Practical exercise: the diagnostic worksheet on page 10.</w:t>
      </w:r>
    </w:p>
    <w:p>
      <w:pPr>
        <w:pStyle w:val="Heading1"/>
        <w:pageBreakBefore/>
      </w:pPr>
      <w:r>
        <w:t>Reading map and key terms</w:t>
      </w:r>
    </w:p>
    <w:p>
      <w:r>
        <w:t>Use the named sections to return to the text. The guide is organised by themes so readers can follow an argument across chapters and interludes.</w:t>
      </w:r>
    </w:p>
    <w:tbl>
      <w:tblPr>
        <w:tblW w:type="auto" w:w="0"/>
        <w:jc w:val="center"/>
        <w:tblLayout w:type="fixed"/>
        <w:tblLook w:firstColumn="1" w:firstRow="1" w:lastColumn="0" w:lastRow="0" w:noHBand="0" w:noVBand="1" w:val="04A0"/>
      </w:tblPr>
      <w:tblGrid>
        <w:gridCol w:w="1987"/>
        <w:gridCol w:w="7056"/>
        <w:gridCol w:w="1123"/>
      </w:tblGrid>
      <w:tr>
        <w:trPr>
          <w:tblHeade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Theme</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Book sections and printed pages</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Guide</w:t>
              <w:br/>
              <w:t>items</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Definition and limits</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The Supremacy of the Imagined World, 6 to 9; What Utopian Supremacy Is Not, 10 to 15</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1</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Moral authority and belonging</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The Moral Permission Slip, 16 to 20; Why Good People Join, 27 to 32</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2 and 3</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Knowledge and inherited institutions</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The Planner and the Knowledge Problem, 33 to 37; The Fence We Did Not Understand, 38 to 41</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4</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Feedback and missing views</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A Society Needs Nerves, 47 to 50; The Missing X Ray, 51 to 54</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5</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Measures and failure</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When the Measure Becomes the Mission, 55 to 58; The Utopian Failure Loop, 59 to 63</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6 and 7</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Leadership and formation</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The People Who Administer Utopia, 64 to 68; Abundance Without Formation, 74 to 77; Rituals That Train for Failure, 83 to 85</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8 and 9</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History and hard cases</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The Pattern in History, 86 to 90; Boundary Tests, 95 to 101</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10 and 11</w:t>
            </w:r>
          </w:p>
        </w:tc>
      </w:tr>
      <w:tr>
        <w:trPr>
          <w:cantSplit/>
        </w:trPr>
        <w:tc>
          <w:tcPr>
            <w:tcW w:type="dxa" w:w="1987"/>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Safeguards and application</w:t>
            </w:r>
          </w:p>
        </w:tc>
        <w:tc>
          <w:tcPr>
            <w:tcW w:type="dxa" w:w="705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A Social Immune System, 102 to 106; A Diagnostic Walk Through, 107 to 110; Better Without Supremacy, 111 to 113</w:t>
            </w:r>
          </w:p>
        </w:tc>
        <w:tc>
          <w:tcPr>
            <w:tcW w:type="dxa" w:w="1123"/>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12 and worksheet</w:t>
            </w:r>
          </w:p>
        </w:tc>
      </w:tr>
    </w:tbl>
    <w:p>
      <w:pPr>
        <w:spacing w:after="20"/>
      </w:pPr>
      <w:r>
        <w:rPr>
          <w:sz w:val="4"/>
        </w:rPr>
      </w:r>
    </w:p>
    <w:p>
      <w:pPr>
        <w:pStyle w:val="Heading2"/>
      </w:pPr>
      <w:r>
        <w:t>Terms in plain language</w:t>
      </w:r>
    </w:p>
    <w:p>
      <w:r/>
      <w:r>
        <w:rPr>
          <w:b/>
        </w:rPr>
        <w:t>Agency:</w:t>
      </w:r>
      <w:r>
        <w:t xml:space="preserve"> The practical ability to make choices and act on them.</w:t>
        <w:br/>
      </w:r>
      <w:r>
        <w:rPr>
          <w:b/>
        </w:rPr>
        <w:t>Feedback:</w:t>
      </w:r>
      <w:r>
        <w:t xml:space="preserve"> Information that helps people see whether a decision is working.</w:t>
        <w:br/>
      </w:r>
      <w:r>
        <w:rPr>
          <w:b/>
        </w:rPr>
        <w:t>Corrigible:</w:t>
      </w:r>
      <w:r>
        <w:t xml:space="preserve"> Able to receive correction and change course.</w:t>
        <w:br/>
      </w:r>
      <w:r>
        <w:rPr>
          <w:b/>
        </w:rPr>
        <w:t>Incentive:</w:t>
      </w:r>
      <w:r>
        <w:t xml:space="preserve"> A reward, cost, or pressure that influences behaviour.</w:t>
        <w:br/>
      </w:r>
      <w:r>
        <w:rPr>
          <w:b/>
        </w:rPr>
        <w:t>Proxy measure:</w:t>
      </w:r>
      <w:r>
        <w:t xml:space="preserve"> A count used to stand in for a harder-to-measure result.</w:t>
        <w:br/>
      </w:r>
      <w:r>
        <w:rPr>
          <w:b/>
        </w:rPr>
        <w:t>Exit and voice:</w:t>
      </w:r>
      <w:r>
        <w:t xml:space="preserve"> Leaving or choosing an alternative, and speaking or organising for change.</w:t>
        <w:br/>
      </w:r>
      <w:r>
        <w:rPr>
          <w:b/>
        </w:rPr>
        <w:t>Chesterton's Fence:</w:t>
      </w:r>
      <w:r>
        <w:t xml:space="preserve"> Understand an institution's function before changing it; understanding does not require preserving it.</w:t>
      </w:r>
    </w:p>
    <w:p>
      <w:r>
        <w:rPr>
          <w:sz w:val="20"/>
        </w:rPr>
        <w:t>The book's central distinction is between pursuing improvement and placing a preferred method beyond correction. Ask how well the text maintains that distinction.</w:t>
      </w:r>
    </w:p>
    <w:p>
      <w:pPr>
        <w:pStyle w:val="Heading1"/>
        <w:pageBreakBefore/>
      </w:pPr>
      <w:r>
        <w:t>When the discussion gets stuck</w:t>
      </w:r>
    </w:p>
    <w:p>
      <w:r>
        <w:t>The host's role is to help readers examine the argument. Keep returning to evidence and the conditions that would make a claim true or false.</w:t>
      </w:r>
    </w:p>
    <w:p>
      <w:pPr>
        <w:pStyle w:val="Heading2"/>
      </w:pPr>
      <w:r>
        <w:t>The group agrees too quickly</w:t>
      </w:r>
    </w:p>
    <w:p>
      <w:r>
        <w:t>Ask someone to identify the weakest step in the reasoning. What would an informed critic say? What successful reform might complicate the book's argument? Leave time for that answer before returning to agreement.</w:t>
      </w:r>
    </w:p>
    <w:p>
      <w:pPr>
        <w:pStyle w:val="Heading2"/>
      </w:pPr>
      <w:r>
        <w:t>All examples come from political opponents</w:t>
      </w:r>
    </w:p>
    <w:p>
      <w:r>
        <w:t>Ask readers to choose an institution or policy they support. Would the same evidence, limits, and stopping rules apply? Apply the test to a government, company, association, or family as appropriate to the question.</w:t>
      </w:r>
    </w:p>
    <w:p>
      <w:pPr>
        <w:pStyle w:val="Heading2"/>
      </w:pPr>
      <w:r>
        <w:t>The label replaces the diagnosis</w:t>
      </w:r>
    </w:p>
    <w:p>
      <w:r>
        <w:t>Ask which features are present together and how they are supported. Read What Utopian Supremacy Is Not and Boundary Tests. A failed policy, a central decision, or an ambitious goal alone does not establish the pattern.</w:t>
      </w:r>
    </w:p>
    <w:p>
      <w:pPr>
        <w:pStyle w:val="Heading2"/>
      </w:pPr>
      <w:r>
        <w:t>A personal story becomes the whole case</w:t>
      </w:r>
    </w:p>
    <w:p>
      <w:r>
        <w:t>Ask what the experience establishes and what it cannot establish by itself. Which broader records would show the scale of the problem? If an average points one way and a person's experience points another, what explains the difference?</w:t>
      </w:r>
    </w:p>
    <w:p>
      <w:pPr>
        <w:pStyle w:val="Heading2"/>
      </w:pPr>
      <w:r>
        <w:t>Different views are treated as equally reliable</w:t>
      </w:r>
    </w:p>
    <w:p>
      <w:r>
        <w:t>Use the missing-view analogy carefully. Another angle is valuable when it reveals something relevant. Compare evidence quality, expertise, independence, and whether the claim can be checked. An additional view can also be mistaken.</w:t>
      </w:r>
    </w:p>
    <w:p>
      <w:pPr>
        <w:pStyle w:val="Heading2"/>
      </w:pPr>
      <w:r>
        <w:t>Criticism is treated as hostility</w:t>
      </w:r>
    </w:p>
    <w:p>
      <w:r>
        <w:t>Separate the goal from the proposed method. Someone can support better housing and still challenge a housing policy. Ask the speaker to state the good they are trying to protect, then test the method and its tradeoffs.</w:t>
      </w:r>
    </w:p>
    <w:p>
      <w:pPr>
        <w:pStyle w:val="Heading2"/>
      </w:pPr>
      <w:r>
        <w:t>Readers think the author is wrong</w:t>
      </w:r>
    </w:p>
    <w:p>
      <w:r>
        <w:t>Make the objection precise. Is the problem an unsupported fact, an incomplete explanation, a poor comparison, or a value judgment? Invite the strongest defence, then identify the evidence that would settle or narrow the issue. Apply the book's demand for correction to the book itself.</w:t>
      </w:r>
    </w:p>
    <w:p>
      <w:pPr>
        <w:pStyle w:val="Heading2"/>
      </w:pPr>
      <w:r>
        <w:t>The conversation produces only objections</w:t>
      </w:r>
    </w:p>
    <w:p>
      <w:r>
        <w:t>Use the worksheet to design a limited improvement. Name the problem, the people affected, the intended result, the costs, and a review point. Ask what should change if the first attempt fails.</w:t>
      </w:r>
    </w:p>
    <w:p>
      <w:pPr>
        <w:pStyle w:val="Heading1"/>
        <w:pageBreakBefore/>
      </w:pPr>
      <w:r>
        <w:t>Reader discussion guide</w:t>
      </w:r>
    </w:p>
    <w:p>
      <w:r>
        <w:rPr>
          <w:sz w:val="22"/>
        </w:rPr>
      </w:r>
      <w:r>
        <w:rPr>
          <w:b/>
          <w:sz w:val="22"/>
        </w:rPr>
        <w:t>Utopian Supremacy: How Selling Utopia Destroys Societies</w:t>
      </w:r>
      <w:r>
        <w:rPr>
          <w:sz w:val="22"/>
        </w:rPr>
        <w:br/>
        <w:t>Dr. Mark Dyrholm DC BComm</w:t>
      </w:r>
    </w:p>
    <w:p>
      <w:r>
        <w:t>Before you meet, bring one claim you accept, one you resist, and one passage you want to examine. Note its page number. Choose four to six questions for a single meeting; a group does not need to cover them all.</w:t>
      </w:r>
    </w:p>
    <w:p>
      <w:pPr>
        <w:spacing w:before="160" w:after="60"/>
      </w:pPr>
      <w:r/>
      <w:r>
        <w:rPr>
          <w:b/>
        </w:rPr>
        <w:t>1  Where is the boundary</w:t>
      </w:r>
      <w:r/>
    </w:p>
    <w:p>
      <w:pPr>
        <w:spacing w:after="100"/>
      </w:pPr>
      <w:r>
        <w:t>What distinguishes an ambitious reform from Utopian Supremacy? Give an example of necessary collective action that would not fit the diagnosis. Are the book's boundaries clear enough to apply consistently? Read pages 6 to 15.</w:t>
      </w:r>
    </w:p>
    <w:p>
      <w:pPr>
        <w:spacing w:before="160" w:after="60"/>
      </w:pPr>
      <w:r/>
      <w:r>
        <w:rPr>
          <w:b/>
        </w:rPr>
        <w:t>2  When does a good end excuse the means</w:t>
      </w:r>
      <w:r/>
    </w:p>
    <w:p>
      <w:pPr>
        <w:spacing w:after="100"/>
      </w:pPr>
      <w:r>
        <w:t>When can a serious goal justify restricting choice? Which limits should still apply? Consider the book's moral permission slip, then ask whether you would accept the same power if an opponent controlled it. Read pages 16 to 20.</w:t>
      </w:r>
    </w:p>
    <w:p>
      <w:pPr>
        <w:spacing w:before="160" w:after="60"/>
      </w:pPr>
      <w:r/>
      <w:r>
        <w:rPr>
          <w:b/>
        </w:rPr>
        <w:t>3  Why do good people join</w:t>
      </w:r>
      <w:r/>
    </w:p>
    <w:p>
      <w:pPr>
        <w:spacing w:after="100"/>
      </w:pPr>
      <w:r>
        <w:t>How do belonging, fear, purpose, and reputation influence commitment to a movement? Which pressures have you felt yourself? What allows a person to reconsider without losing every valued relationship? Read pages 27 to 32.</w:t>
      </w:r>
    </w:p>
    <w:p>
      <w:pPr>
        <w:spacing w:before="160" w:after="60"/>
      </w:pPr>
      <w:r/>
      <w:r>
        <w:rPr>
          <w:b/>
        </w:rPr>
        <w:t>4  What does the plan leave out</w:t>
      </w:r>
      <w:r/>
    </w:p>
    <w:p>
      <w:pPr>
        <w:spacing w:after="100"/>
      </w:pPr>
      <w:r>
        <w:t>What can a central planner see that a local participant cannot, and vice versa? Think of a rule or tradition you would change. What function should be understood first, and when would harm justify prompt change? Read pages 33 to 41.</w:t>
      </w:r>
    </w:p>
    <w:p>
      <w:pPr>
        <w:spacing w:before="160" w:after="60"/>
      </w:pPr>
      <w:r/>
      <w:r>
        <w:rPr>
          <w:b/>
        </w:rPr>
        <w:t>5  What would another view reveal</w:t>
      </w:r>
      <w:r/>
    </w:p>
    <w:p>
      <w:pPr>
        <w:spacing w:after="100"/>
      </w:pPr>
      <w:r>
        <w:t>Choose a disagreement in which two people may each see something real. What extra information would improve the diagnosis? How can we distinguish a useful additional view from an unsupported assertion? Read pages 47 to 54.</w:t>
      </w:r>
    </w:p>
    <w:p>
      <w:pPr>
        <w:spacing w:before="160" w:after="60"/>
      </w:pPr>
      <w:r/>
      <w:r>
        <w:rPr>
          <w:b/>
        </w:rPr>
        <w:t>6  Are we counting activity or improvement</w:t>
      </w:r>
      <w:r/>
    </w:p>
    <w:p>
      <w:pPr>
        <w:spacing w:after="100"/>
      </w:pPr>
      <w:r>
        <w:t>Choose a school, business, public program, or profession. What outcome matters, and what number stands in for it? How might the number improve while the result worsens? Name a second measure that would expose the problem. Read pages 55 to 58.</w:t>
      </w:r>
    </w:p>
    <w:p>
      <w:r>
        <w:rPr>
          <w:sz w:val="18"/>
        </w:rPr>
        <w:t>Book pages refer to the printed First Edition paperback. In another format, use the section names in the contents. Continue with questions 7 to 12 on the next page.</w:t>
      </w:r>
    </w:p>
    <w:p>
      <w:pPr>
        <w:pStyle w:val="Heading1"/>
        <w:pageBreakBefore/>
      </w:pPr>
      <w:r>
        <w:t>Reader discussion guide continued</w:t>
      </w:r>
    </w:p>
    <w:p>
      <w:pPr>
        <w:spacing w:before="160" w:after="60"/>
      </w:pPr>
      <w:r/>
      <w:r>
        <w:rPr>
          <w:b/>
        </w:rPr>
        <w:t>7  Does failure lead to correction or more power</w:t>
      </w:r>
      <w:r/>
    </w:p>
    <w:p>
      <w:pPr>
        <w:spacing w:after="100"/>
      </w:pPr>
      <w:r>
        <w:t>When are poor results evidence of a flawed method, and when are they a temporary implementation problem? What evidence would justify expanding a program? What would justify changing or ending it? Read pages 59 to 63.</w:t>
      </w:r>
    </w:p>
    <w:p>
      <w:pPr>
        <w:spacing w:before="160" w:after="60"/>
      </w:pPr>
      <w:r/>
      <w:r>
        <w:rPr>
          <w:b/>
        </w:rPr>
        <w:t>8  Who decides and who carries the cost</w:t>
      </w:r>
      <w:r/>
    </w:p>
    <w:p>
      <w:pPr>
        <w:spacing w:after="100"/>
      </w:pPr>
      <w:r>
        <w:t>The book contrasts leadership tested by results with leadership protected by control of interpretation. Where is that distinction useful, and where is it too simple? What accountability should apply to public officials, private executives, and professionals? Read pages 64 to 68.</w:t>
      </w:r>
    </w:p>
    <w:p>
      <w:pPr>
        <w:spacing w:before="160" w:after="60"/>
      </w:pPr>
      <w:r/>
      <w:r>
        <w:rPr>
          <w:b/>
        </w:rPr>
        <w:t>9  How well does the book support its claims about formation</w:t>
      </w:r>
      <w:r/>
    </w:p>
    <w:p>
      <w:pPr>
        <w:spacing w:after="100"/>
      </w:pPr>
      <w:r>
        <w:t>Consider its arguments about abundance, responsibility, and ritual. Which claims are demonstrated, and which need more evidence? Can you name a ritual that develops useful responsibility, or a counterexample to the argument? Read pages 74 to 85.</w:t>
      </w:r>
    </w:p>
    <w:p>
      <w:pPr>
        <w:spacing w:before="160" w:after="60"/>
      </w:pPr>
      <w:r/>
      <w:r>
        <w:rPr>
          <w:b/>
        </w:rPr>
        <w:t>10  What can history establish</w:t>
      </w:r>
      <w:r/>
    </w:p>
    <w:p>
      <w:pPr>
        <w:spacing w:after="100"/>
      </w:pPr>
      <w:r>
        <w:t>Choose one historical comparison in the book. Which mechanism appears to repeat? Which differences in evidence, scale, coercion, and context matter? At what point would the comparison become misleading? Read pages 86 to 90.</w:t>
      </w:r>
    </w:p>
    <w:p>
      <w:pPr>
        <w:spacing w:before="160" w:after="60"/>
      </w:pPr>
      <w:r/>
      <w:r>
        <w:rPr>
          <w:b/>
        </w:rPr>
        <w:t>11  Can the framework handle hard cases</w:t>
      </w:r>
      <w:r/>
    </w:p>
    <w:p>
      <w:pPr>
        <w:spacing w:after="100"/>
      </w:pPr>
      <w:r>
        <w:t>Choose public sanitation, civil-rights enforcement, social insurance, or another boundary case. Give the strongest argument for coordinated authority. What would keep that authority proportionate and open to correction? Read pages 95 to 101.</w:t>
      </w:r>
    </w:p>
    <w:p>
      <w:pPr>
        <w:spacing w:before="160" w:after="60"/>
      </w:pPr>
      <w:r/>
      <w:r>
        <w:rPr>
          <w:b/>
        </w:rPr>
        <w:t>12  Where should we challenge the book and ourselves</w:t>
      </w:r>
      <w:r/>
    </w:p>
    <w:p>
      <w:pPr>
        <w:spacing w:after="100"/>
      </w:pPr>
      <w:r>
        <w:t>Which claim in the book is least persuasive, and what evidence would test it? Apply the same scrutiny to one of your own preferred solutions. What could be tried on a limited scale, what result would count as failure, and who could require a change? Read pages 102 to 113.</w:t>
      </w:r>
    </w:p>
    <w:p>
      <w:pPr>
        <w:pStyle w:val="Heading2"/>
      </w:pPr>
      <w:r>
        <w:t>Close with one practical question</w:t>
      </w:r>
    </w:p>
    <w:p>
      <w:r>
        <w:t>What do we now understand better, and what still needs checking? Use the diagnostic worksheet to turn one disagreement into a question the group could investigate.</w:t>
      </w:r>
    </w:p>
    <w:p>
      <w:r>
        <w:rPr>
          <w:sz w:val="18"/>
        </w:rPr>
        <w:t>For author conversation enquiries: drmark@utopiansupremacy.com</w:t>
      </w:r>
    </w:p>
    <w:p>
      <w:pPr>
        <w:pStyle w:val="Heading1"/>
        <w:pageBreakBefore/>
      </w:pPr>
      <w:r>
        <w:t>Diagnostic worksheet</w:t>
      </w:r>
    </w:p>
    <w:p>
      <w:r>
        <w:rPr>
          <w:sz w:val="20"/>
        </w:rPr>
        <w:t xml:space="preserve">Work alone or in pairs for 10 to 15 minutes. Use the </w:t>
      </w:r>
      <w:r>
        <w:rPr>
          <w:b/>
          <w:sz w:val="20"/>
        </w:rPr>
        <w:t>fictional housing case in A Diagnostic Walk Through, pages 107 to 110</w:t>
      </w:r>
      <w:r>
        <w:rPr>
          <w:sz w:val="20"/>
        </w:rPr>
        <w:t>, or choose a clearly defined issue. Two groups can reach different conclusions while improving the diagnosis.</w:t>
      </w:r>
    </w:p>
    <w:p>
      <w:pPr>
        <w:spacing w:after="160"/>
      </w:pPr>
      <w:r>
        <w:rPr>
          <w:sz w:val="20"/>
        </w:rPr>
        <w:t>Issue or proposal __________________________________________________________________</w:t>
      </w:r>
    </w:p>
    <w:p>
      <w:pPr>
        <w:spacing w:after="40"/>
      </w:pPr>
      <w:r>
        <w:rPr>
          <w:sz w:val="20"/>
        </w:rPr>
      </w:r>
      <w:r>
        <w:rPr>
          <w:b/>
          <w:sz w:val="20"/>
        </w:rPr>
        <w:t>1  Define the problem and separate the goal from the method</w:t>
      </w:r>
      <w:r>
        <w:rPr>
          <w:sz w:val="20"/>
        </w:rPr>
        <w:br/>
        <w:t>Who is affected? What change is proposed? What other method could serve the same goal?</w:t>
      </w:r>
    </w:p>
    <w:p>
      <w:pPr>
        <w:keepNext w:val="0"/>
        <w:spacing w:after="120"/>
      </w:pPr>
      <w:r>
        <w:rPr>
          <w:color w:val="A8A8A8"/>
          <w:sz w:val="18"/>
        </w:rPr>
        <w:t>___________________________________________________________________________________________________</w:t>
      </w:r>
    </w:p>
    <w:p>
      <w:pPr>
        <w:keepNext w:val="0"/>
        <w:spacing w:after="120"/>
      </w:pPr>
      <w:r>
        <w:rPr>
          <w:color w:val="A8A8A8"/>
          <w:sz w:val="18"/>
        </w:rPr>
        <w:t>___________________________________________________________________________________________________</w:t>
      </w:r>
    </w:p>
    <w:p>
      <w:pPr>
        <w:spacing w:after="40"/>
      </w:pPr>
      <w:r>
        <w:rPr>
          <w:sz w:val="20"/>
        </w:rPr>
      </w:r>
      <w:r>
        <w:rPr>
          <w:b/>
          <w:sz w:val="20"/>
        </w:rPr>
        <w:t>2  Add the missing views</w:t>
      </w:r>
      <w:r>
        <w:rPr>
          <w:sz w:val="20"/>
        </w:rPr>
        <w:br/>
        <w:t>Whose knowledge would change the diagnosis? What evidence do we have, and what is still assumed?</w:t>
      </w:r>
    </w:p>
    <w:p>
      <w:pPr>
        <w:keepNext w:val="0"/>
        <w:spacing w:after="120"/>
      </w:pPr>
      <w:r>
        <w:rPr>
          <w:color w:val="A8A8A8"/>
          <w:sz w:val="18"/>
        </w:rPr>
        <w:t>___________________________________________________________________________________________________</w:t>
      </w:r>
    </w:p>
    <w:p>
      <w:pPr>
        <w:keepNext w:val="0"/>
        <w:spacing w:after="120"/>
      </w:pPr>
      <w:r>
        <w:rPr>
          <w:color w:val="A8A8A8"/>
          <w:sz w:val="18"/>
        </w:rPr>
        <w:t>___________________________________________________________________________________________________</w:t>
      </w:r>
    </w:p>
    <w:p>
      <w:pPr>
        <w:spacing w:after="40"/>
      </w:pPr>
      <w:r>
        <w:rPr>
          <w:sz w:val="20"/>
        </w:rPr>
      </w:r>
      <w:r>
        <w:rPr>
          <w:b/>
          <w:sz w:val="20"/>
        </w:rPr>
        <w:t>3  Follow power and costs</w:t>
      </w:r>
      <w:r>
        <w:rPr>
          <w:sz w:val="20"/>
        </w:rPr>
        <w:br/>
        <w:t>Who decides, who benefits, and who bears the burden? Can affected people object, appeal, or choose another route?</w:t>
      </w:r>
    </w:p>
    <w:p>
      <w:pPr>
        <w:keepNext w:val="0"/>
        <w:spacing w:after="120"/>
      </w:pPr>
      <w:r>
        <w:rPr>
          <w:color w:val="A8A8A8"/>
          <w:sz w:val="18"/>
        </w:rPr>
        <w:t>___________________________________________________________________________________________________</w:t>
      </w:r>
    </w:p>
    <w:p>
      <w:pPr>
        <w:keepNext w:val="0"/>
        <w:spacing w:after="120"/>
      </w:pPr>
      <w:r>
        <w:rPr>
          <w:color w:val="A8A8A8"/>
          <w:sz w:val="18"/>
        </w:rPr>
        <w:t>___________________________________________________________________________________________________</w:t>
      </w:r>
    </w:p>
    <w:p>
      <w:pPr>
        <w:spacing w:after="40"/>
      </w:pPr>
      <w:r>
        <w:rPr>
          <w:sz w:val="20"/>
        </w:rPr>
      </w:r>
      <w:r>
        <w:rPr>
          <w:b/>
          <w:sz w:val="20"/>
        </w:rPr>
        <w:t>4  Test results and unintended effects</w:t>
      </w:r>
      <w:r>
        <w:rPr>
          <w:sz w:val="20"/>
        </w:rPr>
        <w:br/>
        <w:t>Name one real outcome, one way a measure could mislead, and one effect outside the plan's main target.</w:t>
      </w:r>
    </w:p>
    <w:p>
      <w:pPr>
        <w:keepNext w:val="0"/>
        <w:spacing w:after="120"/>
      </w:pPr>
      <w:r>
        <w:rPr>
          <w:color w:val="A8A8A8"/>
          <w:sz w:val="18"/>
        </w:rPr>
        <w:t>___________________________________________________________________________________________________</w:t>
      </w:r>
    </w:p>
    <w:p>
      <w:pPr>
        <w:keepNext w:val="0"/>
        <w:spacing w:after="120"/>
      </w:pPr>
      <w:r>
        <w:rPr>
          <w:color w:val="A8A8A8"/>
          <w:sz w:val="18"/>
        </w:rPr>
        <w:t>___________________________________________________________________________________________________</w:t>
      </w:r>
    </w:p>
    <w:p>
      <w:pPr>
        <w:spacing w:after="40"/>
      </w:pPr>
      <w:r>
        <w:rPr>
          <w:sz w:val="20"/>
        </w:rPr>
      </w:r>
      <w:r>
        <w:rPr>
          <w:b/>
          <w:sz w:val="20"/>
        </w:rPr>
        <w:t>5  Make correction possible</w:t>
      </w:r>
      <w:r>
        <w:rPr>
          <w:sz w:val="20"/>
        </w:rPr>
        <w:br/>
        <w:t>What would we test first? When would we review it? What finding would trigger a change, and who can require it?</w:t>
      </w:r>
    </w:p>
    <w:p>
      <w:pPr>
        <w:keepNext w:val="0"/>
        <w:spacing w:after="120"/>
      </w:pPr>
      <w:r>
        <w:rPr>
          <w:color w:val="A8A8A8"/>
          <w:sz w:val="18"/>
        </w:rPr>
        <w:t>___________________________________________________________________________________________________</w:t>
      </w:r>
    </w:p>
    <w:p>
      <w:pPr>
        <w:keepNext w:val="0"/>
        <w:spacing w:after="120"/>
      </w:pPr>
      <w:r>
        <w:rPr>
          <w:color w:val="A8A8A8"/>
          <w:sz w:val="18"/>
        </w:rPr>
        <w:t>___________________________________________________________________________________________________</w:t>
      </w:r>
    </w:p>
    <w:p>
      <w:pPr>
        <w:spacing w:after="40"/>
      </w:pPr>
      <w:r>
        <w:rPr>
          <w:sz w:val="20"/>
        </w:rPr>
      </w:r>
      <w:r>
        <w:rPr>
          <w:b/>
          <w:sz w:val="20"/>
        </w:rPr>
        <w:t>One question we can investigate next</w:t>
      </w:r>
      <w:r>
        <w:rPr>
          <w:sz w:val="20"/>
        </w:rPr>
      </w:r>
    </w:p>
    <w:p>
      <w:pPr>
        <w:keepNext w:val="0"/>
        <w:spacing w:after="120"/>
      </w:pPr>
      <w:r>
        <w:rPr>
          <w:color w:val="A8A8A8"/>
          <w:sz w:val="18"/>
        </w:rPr>
        <w:t>___________________________________________________________________________________________________</w:t>
      </w:r>
    </w:p>
    <w:p>
      <w:pPr>
        <w:pStyle w:val="Heading1"/>
        <w:pageBreakBefore/>
      </w:pPr>
      <w:r>
        <w:t>Reader feedback cards</w:t>
      </w:r>
    </w:p>
    <w:p>
      <w:r>
        <w:rPr>
          <w:sz w:val="20"/>
        </w:rPr>
        <w:t>Print one page for every two readers and cut between the cards. Feedback is optional. Return it to the host, who may send a summary to the author. A critical response is useful.</w:t>
      </w:r>
    </w:p>
    <w:p>
      <w:pPr>
        <w:pStyle w:val="Heading2"/>
      </w:pPr>
      <w:r>
        <w:t>Book club feedback</w:t>
      </w:r>
    </w:p>
    <w:p>
      <w:pPr>
        <w:spacing w:after="80"/>
      </w:pPr>
      <w:r>
        <w:rPr>
          <w:sz w:val="20"/>
        </w:rPr>
        <w:t>Compared with a usual discussion of a contentious issue, this conversation was</w:t>
      </w:r>
    </w:p>
    <w:p>
      <w:pPr>
        <w:spacing w:after="140"/>
      </w:pPr>
      <w:r>
        <w:rPr>
          <w:sz w:val="19"/>
        </w:rPr>
        <w:t>[ ] More useful     [ ] About the same     [ ] Less useful     [ ] No basis to compare</w:t>
      </w:r>
    </w:p>
    <w:p>
      <w:pPr>
        <w:spacing w:after="140"/>
      </w:pPr>
      <w:r>
        <w:rPr>
          <w:sz w:val="19"/>
        </w:rPr>
        <w:t>I could explain a different view more fairly by the end     [ ] Yes   [ ] Somewhat   [ ] No</w:t>
      </w:r>
    </w:p>
    <w:p>
      <w:pPr>
        <w:spacing w:after="140"/>
      </w:pPr>
      <w:r>
        <w:rPr>
          <w:sz w:val="19"/>
        </w:rPr>
        <w:t>A question, passage, or exercise that helped __________________________________________</w:t>
      </w:r>
    </w:p>
    <w:p>
      <w:pPr>
        <w:spacing w:after="140"/>
      </w:pPr>
      <w:r>
        <w:rPr>
          <w:sz w:val="19"/>
        </w:rPr>
        <w:t>A claim to challenge or a change to improve the kit ___________________________________</w:t>
      </w:r>
    </w:p>
    <w:p>
      <w:pPr>
        <w:spacing w:after="160"/>
      </w:pPr>
      <w:r>
        <w:rPr>
          <w:sz w:val="18"/>
        </w:rPr>
        <w:t>_______________________________________________________________________________</w:t>
      </w:r>
    </w:p>
    <w:p>
      <w:pPr>
        <w:spacing w:after="60"/>
      </w:pPr>
      <w:r>
        <w:rPr>
          <w:sz w:val="19"/>
        </w:rPr>
      </w:r>
      <w:r>
        <w:rPr>
          <w:b/>
          <w:sz w:val="19"/>
        </w:rPr>
        <w:t>Optional comment the author may quote publicly</w:t>
      </w:r>
      <w:r>
        <w:rPr>
          <w:sz w:val="19"/>
        </w:rPr>
      </w:r>
    </w:p>
    <w:p>
      <w:pPr>
        <w:spacing w:after="140"/>
      </w:pPr>
      <w:r>
        <w:rPr>
          <w:sz w:val="18"/>
        </w:rPr>
        <w:t>_______________________________________________________________________________</w:t>
      </w:r>
    </w:p>
    <w:p>
      <w:pPr>
        <w:spacing w:after="80"/>
      </w:pPr>
      <w:r>
        <w:rPr>
          <w:sz w:val="18"/>
        </w:rPr>
        <w:t>[ ] I permit publication of only the comment written immediately above.</w:t>
      </w:r>
    </w:p>
    <w:p>
      <w:pPr>
        <w:spacing w:after="100"/>
      </w:pPr>
      <w:r>
        <w:rPr>
          <w:sz w:val="18"/>
        </w:rPr>
        <w:t>Credit as [ ] Anonymous  [ ] First name  [ ] Full name   Name _________________________</w:t>
      </w:r>
    </w:p>
    <w:p>
      <w:pPr>
        <w:spacing w:before="200" w:after="180"/>
      </w:pPr>
      <w:r>
        <w:rPr>
          <w:sz w:val="16"/>
        </w:rPr>
        <w:t>Cut here  -  -  -  -  -  -  -  -  -  -  -  -  -  -  -  -  -  -  -  -  -  -  -  -  -  -  -  -</w:t>
      </w:r>
    </w:p>
    <w:p>
      <w:pPr>
        <w:pStyle w:val="Heading2"/>
      </w:pPr>
      <w:r>
        <w:t>Book club feedback</w:t>
      </w:r>
    </w:p>
    <w:p>
      <w:pPr>
        <w:spacing w:after="80"/>
      </w:pPr>
      <w:r>
        <w:rPr>
          <w:sz w:val="20"/>
        </w:rPr>
        <w:t>Compared with a usual discussion of a contentious issue, this conversation was</w:t>
      </w:r>
    </w:p>
    <w:p>
      <w:pPr>
        <w:spacing w:after="140"/>
      </w:pPr>
      <w:r>
        <w:rPr>
          <w:sz w:val="19"/>
        </w:rPr>
        <w:t>[ ] More useful     [ ] About the same     [ ] Less useful     [ ] No basis to compare</w:t>
      </w:r>
    </w:p>
    <w:p>
      <w:pPr>
        <w:spacing w:after="140"/>
      </w:pPr>
      <w:r>
        <w:rPr>
          <w:sz w:val="19"/>
        </w:rPr>
        <w:t>I could explain a different view more fairly by the end     [ ] Yes   [ ] Somewhat   [ ] No</w:t>
      </w:r>
    </w:p>
    <w:p>
      <w:pPr>
        <w:spacing w:after="140"/>
      </w:pPr>
      <w:r>
        <w:rPr>
          <w:sz w:val="19"/>
        </w:rPr>
        <w:t>A question, passage, or exercise that helped __________________________________________</w:t>
      </w:r>
    </w:p>
    <w:p>
      <w:pPr>
        <w:spacing w:after="140"/>
      </w:pPr>
      <w:r>
        <w:rPr>
          <w:sz w:val="19"/>
        </w:rPr>
        <w:t>A claim to challenge or a change to improve the kit ___________________________________</w:t>
      </w:r>
    </w:p>
    <w:p>
      <w:pPr>
        <w:spacing w:after="160"/>
      </w:pPr>
      <w:r>
        <w:rPr>
          <w:sz w:val="18"/>
        </w:rPr>
        <w:t>_______________________________________________________________________________</w:t>
      </w:r>
    </w:p>
    <w:p>
      <w:pPr>
        <w:spacing w:after="60"/>
      </w:pPr>
      <w:r>
        <w:rPr>
          <w:sz w:val="19"/>
        </w:rPr>
      </w:r>
      <w:r>
        <w:rPr>
          <w:b/>
          <w:sz w:val="19"/>
        </w:rPr>
        <w:t>Optional comment the author may quote publicly</w:t>
      </w:r>
      <w:r>
        <w:rPr>
          <w:sz w:val="19"/>
        </w:rPr>
      </w:r>
    </w:p>
    <w:p>
      <w:pPr>
        <w:spacing w:after="140"/>
      </w:pPr>
      <w:r>
        <w:rPr>
          <w:sz w:val="18"/>
        </w:rPr>
        <w:t>_______________________________________________________________________________</w:t>
      </w:r>
    </w:p>
    <w:p>
      <w:pPr>
        <w:spacing w:after="80"/>
      </w:pPr>
      <w:r>
        <w:rPr>
          <w:sz w:val="18"/>
        </w:rPr>
        <w:t>[ ] I permit publication of only the comment written immediately above.</w:t>
      </w:r>
    </w:p>
    <w:p>
      <w:pPr>
        <w:spacing w:after="100"/>
      </w:pPr>
      <w:r>
        <w:rPr>
          <w:sz w:val="18"/>
        </w:rPr>
        <w:t>Credit as [ ] Anonymous  [ ] First name  [ ] Full name   Name _________________________</w:t>
      </w:r>
    </w:p>
    <w:p>
      <w:pPr>
        <w:spacing w:before="160"/>
      </w:pPr>
      <w:r>
        <w:rPr>
          <w:sz w:val="17"/>
        </w:rPr>
        <w:t>Permission is optional and separate from feedback. Leaving the permission box blank means no permission to publish a quotation.</w:t>
      </w:r>
    </w:p>
    <w:p>
      <w:pPr>
        <w:pStyle w:val="Heading1"/>
        <w:pageBreakBefore/>
      </w:pPr>
      <w:r>
        <w:t>Kit inventory and returns</w:t>
      </w:r>
    </w:p>
    <w:p>
      <w:pPr>
        <w:spacing w:after="160"/>
      </w:pPr>
      <w:r>
        <w:rPr>
          <w:sz w:val="20"/>
        </w:rPr>
        <w:t>Kit owner or host __________________________________________________________________</w:t>
      </w:r>
    </w:p>
    <w:p>
      <w:pPr>
        <w:spacing w:after="160"/>
      </w:pPr>
      <w:r>
        <w:rPr>
          <w:sz w:val="20"/>
        </w:rPr>
        <w:t>Group or location __________________________________________________________________</w:t>
      </w:r>
    </w:p>
    <w:p>
      <w:pPr>
        <w:spacing w:after="160"/>
      </w:pPr>
      <w:r>
        <w:rPr>
          <w:sz w:val="20"/>
        </w:rPr>
        <w:t>Host return contact _________________________________________________________________</w:t>
      </w:r>
    </w:p>
    <w:p>
      <w:pPr>
        <w:spacing w:after="160"/>
      </w:pPr>
      <w:r>
        <w:rPr>
          <w:sz w:val="20"/>
        </w:rPr>
        <w:t>Meeting date __________________________  Book return date ___________________________</w:t>
      </w:r>
    </w:p>
    <w:p>
      <w:r>
        <w:rPr>
          <w:sz w:val="20"/>
        </w:rPr>
        <w:t>Use removable labels to number copies. Keep borrower contact details in the host's private records or the library's usual system. This sheet tracks the contents of the set.</w:t>
      </w:r>
    </w:p>
    <w:tbl>
      <w:tblPr>
        <w:tblW w:type="auto" w:w="0"/>
        <w:jc w:val="center"/>
        <w:tblLayout w:type="fixed"/>
        <w:tblLook w:firstColumn="1" w:firstRow="1" w:lastColumn="0" w:lastRow="0" w:noHBand="0" w:noVBand="1" w:val="04A0"/>
      </w:tblPr>
      <w:tblGrid>
        <w:gridCol w:w="720"/>
        <w:gridCol w:w="1901"/>
        <w:gridCol w:w="1296"/>
        <w:gridCol w:w="6250"/>
      </w:tblGrid>
      <w:tr>
        <w:trPr>
          <w:tblHeade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Copy</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Present at start</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Returned</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203D4D"/>
          </w:tcPr>
          <w:p>
            <w:pPr>
              <w:spacing w:after="0" w:line="259" w:lineRule="auto"/>
            </w:pPr>
            <w:r>
              <w:rPr>
                <w:rFonts w:ascii="Nimbus Sans" w:hAnsi="Nimbus Sans"/>
                <w:b/>
                <w:color w:val="FFFFFF"/>
                <w:sz w:val="19"/>
              </w:rPr>
              <w:t>Condition or missing item</w:t>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01</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02</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03</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04</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05</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06</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07</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08</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09</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10</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11</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FFFFF"/>
          </w:tcPr>
          <w:p>
            <w:pPr>
              <w:spacing w:after="0" w:line="259" w:lineRule="auto"/>
            </w:pPr>
            <w:r>
              <w:rPr>
                <w:rFonts w:ascii="Nimbus Sans" w:hAnsi="Nimbus Sans"/>
                <w:color w:val="000000"/>
                <w:sz w:val="19"/>
              </w:rPr>
            </w:r>
          </w:p>
        </w:tc>
      </w:tr>
      <w:tr>
        <w:trPr>
          <w:cantSplit/>
        </w:trPr>
        <w:tc>
          <w:tcPr>
            <w:tcW w:type="dxa" w:w="72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12</w:t>
            </w:r>
          </w:p>
        </w:tc>
        <w:tc>
          <w:tcPr>
            <w:tcW w:type="dxa" w:w="1901"/>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1296"/>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t>[ ]</w:t>
            </w:r>
          </w:p>
        </w:tc>
        <w:tc>
          <w:tcPr>
            <w:tcW w:type="dxa" w:w="6250"/>
            <w:vAlign w:val="center"/>
            <w:tcMar>
              <w:top w:w="90" w:type="dxa"/>
              <w:bottom w:w="90" w:type="dxa"/>
              <w:left w:w="105" w:type="dxa"/>
              <w:right w:w="105" w:type="dxa"/>
            </w:tcMar>
            <w:tcBorders>
              <w:top w:val="single" w:sz="4" w:color="D9D9D9"/>
              <w:left w:val="single" w:sz="4" w:color="D9D9D9"/>
              <w:bottom w:val="single" w:sz="4" w:color="D9D9D9"/>
              <w:right w:val="single" w:sz="4" w:color="D9D9D9"/>
            </w:tcBorders>
            <w:shd w:fill="F2F4F5"/>
          </w:tcPr>
          <w:p>
            <w:pPr>
              <w:spacing w:after="0" w:line="259" w:lineRule="auto"/>
            </w:pPr>
            <w:r>
              <w:rPr>
                <w:rFonts w:ascii="Nimbus Sans" w:hAnsi="Nimbus Sans"/>
                <w:color w:val="000000"/>
                <w:sz w:val="19"/>
              </w:rPr>
            </w:r>
          </w:p>
        </w:tc>
      </w:tr>
    </w:tbl>
    <w:p>
      <w:pPr>
        <w:spacing w:after="20"/>
      </w:pPr>
      <w:r>
        <w:rPr>
          <w:sz w:val="4"/>
        </w:rPr>
      </w:r>
    </w:p>
    <w:p>
      <w:pPr>
        <w:spacing w:before="120"/>
      </w:pPr>
      <w:r>
        <w:rPr>
          <w:sz w:val="20"/>
        </w:rPr>
        <w:t>Other contents returned:  [ ] Facilitator sheet   [ ] Host kit   [ ] Bag or box</w:t>
      </w:r>
    </w:p>
    <w:p>
      <w:pPr>
        <w:spacing w:after="140"/>
      </w:pPr>
      <w:r>
        <w:rPr>
          <w:sz w:val="20"/>
        </w:rPr>
        <w:t>Optional items included ______________________________________________________________</w:t>
      </w:r>
    </w:p>
    <w:p>
      <w:pPr>
        <w:spacing w:after="140"/>
      </w:pPr>
      <w:r>
        <w:rPr>
          <w:sz w:val="20"/>
        </w:rPr>
        <w:t>Missing items or damage ______________________________________________________________</w:t>
      </w:r>
    </w:p>
    <w:p>
      <w:pPr>
        <w:spacing w:after="160"/>
      </w:pPr>
      <w:r>
        <w:rPr>
          <w:sz w:val="18"/>
        </w:rPr>
        <w:t>_________________________________________________________________________________</w:t>
      </w:r>
    </w:p>
    <w:p>
      <w:r>
        <w:rPr>
          <w:sz w:val="20"/>
        </w:rPr>
        <w:t>Checked by _________________________________  Date _________________________________</w:t>
      </w:r>
    </w:p>
    <w:p>
      <w:r>
        <w:rPr>
          <w:sz w:val="18"/>
        </w:rPr>
        <w:t>Borrowing, replacement, and renewal arrangements are set by the kit owner or receiving library.</w:t>
      </w:r>
    </w:p>
    <w:p>
      <w:pPr>
        <w:pStyle w:val="Heading1"/>
        <w:pageBreakBefore/>
      </w:pPr>
      <w:r>
        <w:t>Join a book club discussion</w:t>
      </w:r>
    </w:p>
    <w:p>
      <w:pPr>
        <w:spacing w:after="80"/>
        <w:jc w:val="center"/>
      </w:pPr>
      <w:r>
        <w:rPr>
          <w:b/>
          <w:sz w:val="54"/>
        </w:rPr>
        <w:t>Utopian Supremacy</w:t>
      </w:r>
    </w:p>
    <w:p>
      <w:pPr>
        <w:spacing w:after="80"/>
        <w:jc w:val="center"/>
      </w:pPr>
      <w:r>
        <w:rPr>
          <w:sz w:val="24"/>
        </w:rPr>
        <w:t>How Selling Utopia Destroys Societies</w:t>
      </w:r>
    </w:p>
    <w:p>
      <w:pPr>
        <w:spacing w:after="60"/>
        <w:jc w:val="center"/>
      </w:pPr>
      <w:r>
        <w:rPr>
          <w:sz w:val="22"/>
        </w:rPr>
        <w:t>Dr. Mark Dyrholm DC BComm</w:t>
      </w:r>
    </w:p>
    <w:p>
      <w:pPr>
        <w:spacing w:before="160" w:after="240"/>
        <w:jc w:val="center"/>
      </w:pPr>
      <w:r>
        <w:drawing>
          <wp:inline xmlns:a="http://schemas.openxmlformats.org/drawingml/2006/main" xmlns:pic="http://schemas.openxmlformats.org/drawingml/2006/picture">
            <wp:extent cx="2084831" cy="3125438"/>
            <wp:docPr id="2" name="Picture 2" descr="Cover of Utopian Supremacy by Dr. Mark Dyrholm DC BComm. A billboard promises an ideal city above a street showing shortages and restrictions."/>
            <wp:cNvGraphicFramePr>
              <a:graphicFrameLocks noChangeAspect="1"/>
            </wp:cNvGraphicFramePr>
            <a:graphic>
              <a:graphicData uri="http://schemas.openxmlformats.org/drawingml/2006/picture">
                <pic:pic>
                  <pic:nvPicPr>
                    <pic:cNvPr id="0" name="Utopian_Supremacy_Kindle_Cover.jpg"/>
                    <pic:cNvPicPr/>
                  </pic:nvPicPr>
                  <pic:blipFill>
                    <a:blip r:embed="rId11"/>
                    <a:stretch>
                      <a:fillRect/>
                    </a:stretch>
                  </pic:blipFill>
                  <pic:spPr>
                    <a:xfrm>
                      <a:off x="0" y="0"/>
                      <a:ext cx="2084831" cy="3125438"/>
                    </a:xfrm>
                    <a:prstGeom prst="rect"/>
                  </pic:spPr>
                </pic:pic>
              </a:graphicData>
            </a:graphic>
          </wp:inline>
        </w:drawing>
      </w:r>
    </w:p>
    <w:p>
      <w:pPr>
        <w:spacing w:after="160"/>
        <w:jc w:val="center"/>
      </w:pPr>
      <w:r>
        <w:rPr>
          <w:b/>
          <w:sz w:val="26"/>
        </w:rPr>
        <w:t>What happens when a better world becomes too important to question?</w:t>
      </w:r>
    </w:p>
    <w:p>
      <w:pPr>
        <w:spacing w:after="280"/>
        <w:jc w:val="center"/>
      </w:pPr>
      <w:r>
        <w:rPr>
          <w:sz w:val="22"/>
        </w:rPr>
        <w:t>Explore the gap between good intentions and real results. Discuss the book's arguments and what different perspectives reveal. Bring your questions; agreement with the author is optional.</w:t>
      </w:r>
    </w:p>
    <w:p>
      <w:pPr>
        <w:spacing w:after="200"/>
      </w:pPr>
      <w:r>
        <w:rPr>
          <w:sz w:val="22"/>
        </w:rPr>
        <w:t>Host __________________________________________________________________________</w:t>
      </w:r>
    </w:p>
    <w:p>
      <w:pPr>
        <w:spacing w:after="200"/>
      </w:pPr>
      <w:r>
        <w:rPr>
          <w:sz w:val="22"/>
        </w:rPr>
        <w:t>Date and time __________________________________________________________________</w:t>
      </w:r>
    </w:p>
    <w:p>
      <w:pPr>
        <w:spacing w:after="200"/>
      </w:pPr>
      <w:r>
        <w:rPr>
          <w:sz w:val="22"/>
        </w:rPr>
        <w:t>Location or online meeting ________________________________________________________</w:t>
      </w:r>
    </w:p>
    <w:p>
      <w:pPr>
        <w:spacing w:after="200"/>
      </w:pPr>
      <w:r>
        <w:rPr>
          <w:sz w:val="22"/>
        </w:rPr>
        <w:t>Registration or host contact _______________________________________________________</w:t>
      </w:r>
    </w:p>
    <w:p>
      <w:pPr>
        <w:spacing w:after="60"/>
        <w:jc w:val="center"/>
      </w:pPr>
      <w:r>
        <w:rPr>
          <w:sz w:val="20"/>
        </w:rPr>
        <w:t>Ask the host about reading copies and the two-page discussion guide.</w:t>
      </w:r>
    </w:p>
    <w:p>
      <w:pPr>
        <w:jc w:val="center"/>
      </w:pPr>
      <w:hyperlink r:id="rId14">
        <w:r>
          <w:rPr>
            <w:color w:val="183D52"/>
            <w:sz w:val="20"/>
            <w:u w:val="single"/>
          </w:rPr>
          <w:t>Book information and orders  |  amazon.ca/dp/1069666203</w:t>
        </w:r>
      </w:hyperlink>
    </w:p>
    <w:p>
      <w:pPr>
        <w:jc w:val="center"/>
      </w:pPr>
      <w:r>
        <w:rPr>
          <w:sz w:val="18"/>
        </w:rPr>
        <w:t>Author enquiries  drmark@utopiansupremacy.com</w:t>
      </w:r>
    </w:p>
    <w:sectPr w:rsidR="00FC693F" w:rsidRPr="0006063C" w:rsidSect="00034616">
      <w:headerReference w:type="default" r:id="rId9"/>
      <w:footerReference w:type="default" r:id="rId10"/>
      <w:pgSz w:w="12240" w:h="15840"/>
      <w:pgMar w:top="950" w:right="1037" w:bottom="922" w:left="1037" w:header="360"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pPr>
    <w:r>
      <w:t>Utopian Supremacy  |  Author prepared discussion materials</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UTOPIAN SUPREMACY  /  BOOK CLUB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Nimbus Sans" w:hAnsi="Nimbus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imbus Sans" w:hAnsi="Nimbus Sans"/>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imbus Sans" w:hAnsi="Nimbus Sans"/>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outlineLvl w:val="0"/>
    </w:pPr>
    <w:rPr>
      <w:rFonts w:ascii="Bitstream Charter" w:hAnsi="Bitstream Charter"/>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Nimbus Sans" w:hAnsi="Nimbus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Nimbus Sans" w:hAnsi="Nimbus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Bitstream Charter" w:hAnsi="Bitstream Charter"/>
      <w:b w:val="0"/>
      <w:color w:val="000000"/>
      <w:spacing w:val="5"/>
      <w:kern w:val="28"/>
      <w:sz w:val="56"/>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Nimbus Sans" w:hAnsi="Nimbus Sans"/>
      <w:i/>
      <w:iCs/>
      <w:color w:val="000000"/>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imbus Sans" w:hAnsi="Nimbus Sans"/>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mailto:drmark@utopiansupremacy.com" TargetMode="External"/><Relationship Id="rId13" Type="http://schemas.openxmlformats.org/officeDocument/2006/relationships/hyperlink" Target="https://www.claresholmlibrary.ca/services/book-club-kits" TargetMode="External"/><Relationship Id="rId14" Type="http://schemas.openxmlformats.org/officeDocument/2006/relationships/hyperlink" Target="https://www.amazon.ca/dp/1069666203" TargetMode="External"/><Relationship Id="rId15" Type="http://schemas.openxmlformats.org/officeDocument/2006/relationships/hyperlink" Target="https://yalebooks.yale.edu/book/9780300078152/seeing-like-a-state/" TargetMode="External"/><Relationship Id="rId16" Type="http://schemas.openxmlformats.org/officeDocument/2006/relationships/hyperlink" Target="https://righteousmind.com/about-the-book/" TargetMode="External"/><Relationship Id="rId17" Type="http://schemas.openxmlformats.org/officeDocument/2006/relationships/hyperlink" Target="https://www.hachettebookgroup.com/titles/thomas-sowell/a-conflict-of-visions/9780465004669/" TargetMode="External"/><Relationship Id="rId18" Type="http://schemas.openxmlformats.org/officeDocument/2006/relationships/hyperlink" Target="https://www.routledge.com/The-Open-Society-and-Its-Enemies/Popper/p/book/9780415610216" TargetMode="External"/><Relationship Id="rId19" Type="http://schemas.openxmlformats.org/officeDocument/2006/relationships/hyperlink" Target="https://chinookarch.ca/about-us/services/book-club-k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Utopian Supremacy Book Club Kit</dc:title>
  <dc:subject>Library and reading group discussion kit for the First Edition</dc:subject>
  <dc:creator>Dr. Mark Dyrholm DC BComm</dc:creator>
  <cp:keywords>Utopian Supremacy, book club, library, facilitator guide</cp:keywords>
  <dc:description/>
  <cp:lastModifiedBy/>
  <cp:revision>1</cp:revision>
  <dcterms:created xsi:type="dcterms:W3CDTF">2013-12-23T23:15:00Z</dcterms:created>
  <dcterms:modified xsi:type="dcterms:W3CDTF">2013-12-23T23:15:00Z</dcterms:modified>
  <cp:category/>
</cp:coreProperties>
</file>